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42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67BA3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eastAsia="zh-CN"/>
        </w:rPr>
      </w:pPr>
      <w:r>
        <w:rPr>
          <w:rFonts w:ascii="方正小标宋简体" w:hAnsi="方正小标宋简体" w:eastAsia="方正小标宋简体" w:cs="方正小标宋简体"/>
          <w:spacing w:val="-6"/>
          <w:sz w:val="40"/>
          <w:szCs w:val="40"/>
        </w:rPr>
        <w:t>2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026年度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</w:rPr>
        <w:t>福建省职业院校技能大赛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eastAsia="zh-CN"/>
        </w:rPr>
        <w:t>赛道一览表</w:t>
      </w:r>
    </w:p>
    <w:tbl>
      <w:tblPr>
        <w:tblStyle w:val="4"/>
        <w:tblW w:w="87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4949"/>
        <w:gridCol w:w="2577"/>
      </w:tblGrid>
      <w:tr w14:paraId="0D9A9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tblHeader/>
          <w:jc w:val="center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1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0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84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组别</w:t>
            </w:r>
          </w:p>
        </w:tc>
      </w:tr>
      <w:tr w14:paraId="49CC9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4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F2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现代农业赛道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AD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4A96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F9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B7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FB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4B739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3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7F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林业赛道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4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26696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0B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A5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4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14B8F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1F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FF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畜牧与水产赛道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92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0E1A1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50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2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D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7E799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2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E1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地质勘察与地理测绘赛道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12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0EC2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CA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16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7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15ECA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F9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92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资源开采赛道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44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00487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D2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FA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8C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08D8F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33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8A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生态保护与环境治理赛道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10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2361F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66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F4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87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07CC0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0E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CA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能源动力赛道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33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04AF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4F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7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CC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02BA8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E0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CF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2FD0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B6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AD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土木建筑设计与管理赛道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8F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A2DD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44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01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06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2A1D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3B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05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土木建筑施工赛道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BD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A645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3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7B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432DD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D6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E6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4F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41C9C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92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A7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机械设计与制造赛道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A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0E71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FF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AC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F4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38E5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6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05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机电设备安装与运维赛道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0E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5449B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40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A1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FE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63B3E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18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1B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智能装备应用赛道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7E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5557B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25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D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0A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555E5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A6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1E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轨道交通运输赛道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B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1F16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BC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76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3E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79D39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AD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FD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航空交通运输赛道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49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554E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B7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6C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2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2ED9F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5A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9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04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船舶交通运输赛道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EE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375C3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1D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E3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汽车制造与维修赛道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8F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6B2C9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81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5F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2F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319FC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9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D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道路与管道运输赛道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7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6958F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A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7A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90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2905F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BB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生物技术赛道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7B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781A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CD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3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化工技术赛道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D6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4BD5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56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27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7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31427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10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A0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轻工赛道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D0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4B707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F3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9B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纺织服装赛道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1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008A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0C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F6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B4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57718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6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1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食品与粮食赛道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B0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0558B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D2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4E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A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490CF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4D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7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医疗器械制造与运维赛道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A4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6F71C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DA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D9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电子电器与集成电路赛道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6B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5878A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30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1D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FC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2FAD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CC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8A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新一代信息技术赛道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77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5F22C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30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9D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5F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6E507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A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A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医药生产与经营赛道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43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A2BB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81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79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26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162D3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2D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06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医学技术赛道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0A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49D99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93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D6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0B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7C4B9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B8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89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康复治疗与护理赛道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C8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17216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F9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0C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94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5A228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48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8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健康养老与婴幼儿托育赛道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EB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2F0B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51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05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22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52941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8E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A8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财经赛道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1A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4E6E2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20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8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6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33F5E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7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04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商贸赛道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D5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64649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5C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CA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8C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06D8A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E3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F4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物流与供应链赛道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19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F592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D6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01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E8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749E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7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B1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D6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409F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3C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37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97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4DB1E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A9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2B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餐饮赛道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5F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26592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8B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E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8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4953C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B6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FF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FB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5C1F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F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1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65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090D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3C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51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表演艺术赛道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5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AE77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2C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3D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E6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0BB45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29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1B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新闻传播赛道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51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CEC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4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94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3E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58701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8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D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教育与体育赛道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91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7448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2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C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CA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22245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80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74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公共安全、管理与服务赛道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4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2FAFC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2C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E1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BB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  <w:tr w14:paraId="1E2D5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B2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4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DF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人工智能赛道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CB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中职组</w:t>
            </w:r>
          </w:p>
        </w:tc>
      </w:tr>
      <w:tr w14:paraId="0B4C4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CD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D1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53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高职组</w:t>
            </w:r>
          </w:p>
        </w:tc>
      </w:tr>
    </w:tbl>
    <w:p w14:paraId="7F414AEC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2</w:t>
      </w:r>
    </w:p>
    <w:p w14:paraId="479713C6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年</w:t>
      </w:r>
      <w:r>
        <w:rPr>
          <w:rFonts w:hint="default" w:ascii="Times New Roman" w:hAnsi="Times New Roman" w:eastAsia="方正小标宋_GBK" w:cs="Times New Roman"/>
          <w:sz w:val="40"/>
          <w:szCs w:val="40"/>
          <w:lang w:eastAsia="zh-CN"/>
        </w:rPr>
        <w:t>度福建省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职业院校技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0"/>
          <w:szCs w:val="40"/>
        </w:rPr>
        <w:t>能大赛评分要素</w:t>
      </w:r>
    </w:p>
    <w:tbl>
      <w:tblPr>
        <w:tblStyle w:val="4"/>
        <w:tblW w:w="949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401"/>
        <w:gridCol w:w="5151"/>
        <w:gridCol w:w="700"/>
      </w:tblGrid>
      <w:tr w14:paraId="4A8C7F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42" w:type="dxa"/>
            <w:noWrap w:val="0"/>
            <w:vAlign w:val="center"/>
          </w:tcPr>
          <w:p w14:paraId="7B6A74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评分指标</w:t>
            </w:r>
          </w:p>
        </w:tc>
        <w:tc>
          <w:tcPr>
            <w:tcW w:w="2401" w:type="dxa"/>
            <w:noWrap w:val="0"/>
            <w:vAlign w:val="center"/>
          </w:tcPr>
          <w:p w14:paraId="72E6A7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观测点</w:t>
            </w:r>
          </w:p>
        </w:tc>
        <w:tc>
          <w:tcPr>
            <w:tcW w:w="5151" w:type="dxa"/>
            <w:noWrap w:val="0"/>
            <w:vAlign w:val="center"/>
          </w:tcPr>
          <w:p w14:paraId="1D1259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eastAsia="zh-CN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明</w:t>
            </w:r>
          </w:p>
        </w:tc>
        <w:tc>
          <w:tcPr>
            <w:tcW w:w="700" w:type="dxa"/>
            <w:noWrap w:val="0"/>
            <w:vAlign w:val="center"/>
          </w:tcPr>
          <w:p w14:paraId="3AFEFA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  <w:lang w:val="en-US" w:eastAsia="zh-CN"/>
              </w:rPr>
              <w:t>得分</w:t>
            </w:r>
          </w:p>
        </w:tc>
      </w:tr>
      <w:tr w14:paraId="348F13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6BC1729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一、技能水平（权重60%，60分）</w:t>
            </w:r>
          </w:p>
        </w:tc>
        <w:tc>
          <w:tcPr>
            <w:tcW w:w="2401" w:type="dxa"/>
            <w:noWrap w:val="0"/>
            <w:vAlign w:val="center"/>
          </w:tcPr>
          <w:p w14:paraId="7955C7A1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1.操作规范性（10分）</w:t>
            </w:r>
          </w:p>
        </w:tc>
        <w:tc>
          <w:tcPr>
            <w:tcW w:w="5151" w:type="dxa"/>
            <w:noWrap w:val="0"/>
            <w:vAlign w:val="center"/>
          </w:tcPr>
          <w:p w14:paraId="02C1E58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技能操作规范，符合行业标准和岗位要求</w:t>
            </w:r>
          </w:p>
        </w:tc>
        <w:tc>
          <w:tcPr>
            <w:tcW w:w="700" w:type="dxa"/>
            <w:vMerge w:val="restart"/>
            <w:noWrap w:val="0"/>
            <w:vAlign w:val="center"/>
          </w:tcPr>
          <w:p w14:paraId="15AB308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08C336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21A6E7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3DF62FA7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2.技能熟练度（15分）</w:t>
            </w:r>
          </w:p>
        </w:tc>
        <w:tc>
          <w:tcPr>
            <w:tcW w:w="5151" w:type="dxa"/>
            <w:noWrap w:val="0"/>
            <w:vAlign w:val="center"/>
          </w:tcPr>
          <w:p w14:paraId="4B9188CF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知识技术应用和软硬件等工具使用熟练，操作流畅，运用精准，任务进度控制和时间利用合理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006266CC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238D9A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02B4B8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2239C28C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3.任务难易度（15分）</w:t>
            </w:r>
          </w:p>
        </w:tc>
        <w:tc>
          <w:tcPr>
            <w:tcW w:w="5151" w:type="dxa"/>
            <w:noWrap w:val="0"/>
            <w:vAlign w:val="center"/>
          </w:tcPr>
          <w:p w14:paraId="3C9B682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工作任务完整，突出关键技术，具有一定挑战性，需要较高技能操作水平和解决复杂问题的综合能力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32A29B3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48158B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44FAD7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5B6C367F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4.技术先进性（15分）</w:t>
            </w:r>
          </w:p>
        </w:tc>
        <w:tc>
          <w:tcPr>
            <w:tcW w:w="5151" w:type="dxa"/>
            <w:noWrap w:val="0"/>
            <w:vAlign w:val="center"/>
          </w:tcPr>
          <w:p w14:paraId="08EA9DE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体现所属行业新标准、新技术、新场景应用，积极应用前沿技术、数字化技术，技术选择恰当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623B603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1ABA83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3C9EE8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413E3D60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5.现场讲解效果（5分）</w:t>
            </w:r>
          </w:p>
        </w:tc>
        <w:tc>
          <w:tcPr>
            <w:tcW w:w="5151" w:type="dxa"/>
            <w:noWrap w:val="0"/>
            <w:vAlign w:val="center"/>
          </w:tcPr>
          <w:p w14:paraId="1D1A0F85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讲解内容逻辑清晰，重点突出，表达准确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2E66450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1C1833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0F47029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二、职业素养（权重10%，10分）</w:t>
            </w:r>
          </w:p>
        </w:tc>
        <w:tc>
          <w:tcPr>
            <w:tcW w:w="2401" w:type="dxa"/>
            <w:noWrap w:val="0"/>
            <w:vAlign w:val="center"/>
          </w:tcPr>
          <w:p w14:paraId="27BC818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1.职业道德与行为规范（4分）</w:t>
            </w:r>
          </w:p>
        </w:tc>
        <w:tc>
          <w:tcPr>
            <w:tcW w:w="5151" w:type="dxa"/>
            <w:noWrap w:val="0"/>
            <w:vAlign w:val="center"/>
          </w:tcPr>
          <w:p w14:paraId="1AD1466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诚信守法，尊重知识产权，遵守职业伦理，展现良好职业风貌</w:t>
            </w:r>
          </w:p>
        </w:tc>
        <w:tc>
          <w:tcPr>
            <w:tcW w:w="700" w:type="dxa"/>
            <w:vMerge w:val="restart"/>
            <w:noWrap w:val="0"/>
            <w:vAlign w:val="center"/>
          </w:tcPr>
          <w:p w14:paraId="00014205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5A6DF5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35614B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2B78ED1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2.工匠精神（3分）</w:t>
            </w:r>
          </w:p>
        </w:tc>
        <w:tc>
          <w:tcPr>
            <w:tcW w:w="5151" w:type="dxa"/>
            <w:noWrap w:val="0"/>
            <w:vAlign w:val="center"/>
          </w:tcPr>
          <w:p w14:paraId="7CB9CE9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注重细节，精益求精，追求卓越，体现管理意识和质量意识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6F804EF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6EBB54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6E74A0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29858D8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3.安全意识（3分）</w:t>
            </w:r>
          </w:p>
        </w:tc>
        <w:tc>
          <w:tcPr>
            <w:tcW w:w="5151" w:type="dxa"/>
            <w:noWrap w:val="0"/>
            <w:vAlign w:val="center"/>
          </w:tcPr>
          <w:p w14:paraId="5A822C0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严格遵守安全规范，具备劳动保护和风险防范意识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418FB333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41F109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601579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三、应用价值（权重10%，10分）</w:t>
            </w:r>
          </w:p>
        </w:tc>
        <w:tc>
          <w:tcPr>
            <w:tcW w:w="2401" w:type="dxa"/>
            <w:noWrap w:val="0"/>
            <w:vAlign w:val="center"/>
          </w:tcPr>
          <w:p w14:paraId="73552632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1.实用性（4分）</w:t>
            </w:r>
          </w:p>
        </w:tc>
        <w:tc>
          <w:tcPr>
            <w:tcW w:w="5151" w:type="dxa"/>
            <w:noWrap w:val="0"/>
            <w:vAlign w:val="center"/>
          </w:tcPr>
          <w:p w14:paraId="4FEA0F4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解决方案可直接应用于实践，有效解决生产、生活中的实际问题，契合产业转型升级、区域经济社会发展、乡村振兴、促进高质量就业等国家战略需求</w:t>
            </w:r>
          </w:p>
        </w:tc>
        <w:tc>
          <w:tcPr>
            <w:tcW w:w="700" w:type="dxa"/>
            <w:vMerge w:val="restart"/>
            <w:noWrap w:val="0"/>
            <w:vAlign w:val="center"/>
          </w:tcPr>
          <w:p w14:paraId="78359185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404269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1B6E73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0BD62DE5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2.经济性（3分）</w:t>
            </w:r>
          </w:p>
        </w:tc>
        <w:tc>
          <w:tcPr>
            <w:tcW w:w="5151" w:type="dxa"/>
            <w:noWrap w:val="0"/>
            <w:vAlign w:val="center"/>
          </w:tcPr>
          <w:p w14:paraId="3DC56A9D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资源利用合理，体现高效益、高质量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6DF81FE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6321A2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40EB03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1840F6B7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3.可持续性（3分）</w:t>
            </w:r>
          </w:p>
        </w:tc>
        <w:tc>
          <w:tcPr>
            <w:tcW w:w="5151" w:type="dxa"/>
            <w:noWrap w:val="0"/>
            <w:vAlign w:val="center"/>
          </w:tcPr>
          <w:p w14:paraId="740F2088">
            <w:pP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具有良好环保意识，绿色低碳，符合产业未来发展方向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7CE83E80">
            <w:pP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710963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67B1AE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四、团队合作（权重10%，10分）</w:t>
            </w:r>
          </w:p>
        </w:tc>
        <w:tc>
          <w:tcPr>
            <w:tcW w:w="2401" w:type="dxa"/>
            <w:noWrap w:val="0"/>
            <w:vAlign w:val="center"/>
          </w:tcPr>
          <w:p w14:paraId="1DA13D40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1.团队精神（5分）</w:t>
            </w:r>
          </w:p>
        </w:tc>
        <w:tc>
          <w:tcPr>
            <w:tcW w:w="5151" w:type="dxa"/>
            <w:noWrap w:val="0"/>
            <w:vAlign w:val="center"/>
          </w:tcPr>
          <w:p w14:paraId="76F6308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团队成员能够准确理解共同目标和任务，清楚自己的角色定位和职责，团队成员相互尊重、信任和支持，拥有良好的团队氛围</w:t>
            </w:r>
          </w:p>
        </w:tc>
        <w:tc>
          <w:tcPr>
            <w:tcW w:w="700" w:type="dxa"/>
            <w:vMerge w:val="restart"/>
            <w:noWrap w:val="0"/>
            <w:vAlign w:val="center"/>
          </w:tcPr>
          <w:p w14:paraId="41DB3F6E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2F24FC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42E49F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340B3991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2.沟通协作（5分）</w:t>
            </w:r>
          </w:p>
        </w:tc>
        <w:tc>
          <w:tcPr>
            <w:tcW w:w="5151" w:type="dxa"/>
            <w:noWrap w:val="0"/>
            <w:vAlign w:val="center"/>
          </w:tcPr>
          <w:p w14:paraId="4324C46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团队成员在比赛中能够有效沟通、紧密协作，能够相互补台，共同应对突发情况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7FF4A08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59027C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5499F0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  <w:t>五、创新创意（权重10%，10分）</w:t>
            </w:r>
          </w:p>
        </w:tc>
        <w:tc>
          <w:tcPr>
            <w:tcW w:w="2401" w:type="dxa"/>
            <w:noWrap w:val="0"/>
            <w:vAlign w:val="center"/>
          </w:tcPr>
          <w:p w14:paraId="6F0C8C3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1.创新意识（4分）</w:t>
            </w:r>
          </w:p>
        </w:tc>
        <w:tc>
          <w:tcPr>
            <w:tcW w:w="5151" w:type="dxa"/>
            <w:noWrap w:val="0"/>
            <w:vAlign w:val="center"/>
          </w:tcPr>
          <w:p w14:paraId="04FE5B37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体现原始创意、创新和团队成员创新精神、创新能力</w:t>
            </w:r>
          </w:p>
        </w:tc>
        <w:tc>
          <w:tcPr>
            <w:tcW w:w="700" w:type="dxa"/>
            <w:vMerge w:val="restart"/>
            <w:noWrap w:val="0"/>
            <w:vAlign w:val="center"/>
          </w:tcPr>
          <w:p w14:paraId="65D98B3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  <w:tr w14:paraId="726F55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exac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579DF7E7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01" w:type="dxa"/>
            <w:noWrap w:val="0"/>
            <w:vAlign w:val="center"/>
          </w:tcPr>
          <w:p w14:paraId="5D776A4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2.创新成效（6分）</w:t>
            </w:r>
          </w:p>
        </w:tc>
        <w:tc>
          <w:tcPr>
            <w:tcW w:w="5151" w:type="dxa"/>
            <w:noWrap w:val="0"/>
            <w:vAlign w:val="center"/>
          </w:tcPr>
          <w:p w14:paraId="2F3477CF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在要素整合、新技术应用、工艺流程改进、服务模式优化等方面具有原创性，侧重加工工艺创新、实用技术创新、产品（技术）数字化改良、应用性优化、民生类创意等</w:t>
            </w:r>
          </w:p>
        </w:tc>
        <w:tc>
          <w:tcPr>
            <w:tcW w:w="700" w:type="dxa"/>
            <w:vMerge w:val="continue"/>
            <w:noWrap w:val="0"/>
            <w:vAlign w:val="center"/>
          </w:tcPr>
          <w:p w14:paraId="1594FBF6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</w:pPr>
          </w:p>
        </w:tc>
      </w:tr>
    </w:tbl>
    <w:p w14:paraId="53C56F5E">
      <w:r>
        <w:rPr>
          <w:rFonts w:ascii="Times New Roman" w:hAnsi="Times New Roman" w:eastAsia="仿宋_GB2312"/>
          <w:b/>
          <w:bCs/>
          <w:kern w:val="0"/>
          <w:sz w:val="22"/>
          <w:szCs w:val="22"/>
        </w:rPr>
        <w:t>说明：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1.评分原则为“突出能力导向、解决实际问题、体现创新因素、确保公平可比”；2</w:t>
      </w:r>
      <w:r>
        <w:rPr>
          <w:rFonts w:ascii="Times New Roman" w:hAnsi="Times New Roman" w:eastAsia="仿宋_GB2312"/>
          <w:kern w:val="0"/>
          <w:sz w:val="22"/>
          <w:szCs w:val="22"/>
        </w:rPr>
        <w:t>.评分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要素充分体现综合育人</w:t>
      </w:r>
      <w:r>
        <w:rPr>
          <w:rFonts w:hint="eastAsia" w:ascii="Times New Roman" w:hAnsi="Times New Roman" w:eastAsia="仿宋_GB2312"/>
          <w:kern w:val="0"/>
          <w:sz w:val="22"/>
          <w:szCs w:val="22"/>
          <w:lang w:val="en-US" w:eastAsia="zh-CN"/>
        </w:rPr>
        <w:t>功能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，突出教育教学改革创新，共</w:t>
      </w:r>
      <w:r>
        <w:rPr>
          <w:rFonts w:ascii="Times New Roman" w:hAnsi="Times New Roman" w:eastAsia="仿宋_GB2312"/>
          <w:kern w:val="0"/>
          <w:sz w:val="22"/>
          <w:szCs w:val="22"/>
        </w:rPr>
        <w:t>5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项</w:t>
      </w:r>
      <w:r>
        <w:rPr>
          <w:rFonts w:ascii="Times New Roman" w:hAnsi="Times New Roman" w:eastAsia="仿宋_GB2312"/>
          <w:kern w:val="0"/>
          <w:sz w:val="22"/>
          <w:szCs w:val="22"/>
        </w:rPr>
        <w:t>评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分指标</w:t>
      </w:r>
      <w:r>
        <w:rPr>
          <w:rFonts w:ascii="Times New Roman" w:hAnsi="Times New Roman" w:eastAsia="仿宋_GB2312"/>
          <w:kern w:val="0"/>
          <w:sz w:val="22"/>
          <w:szCs w:val="22"/>
        </w:rPr>
        <w:t>，总分100分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；3</w:t>
      </w:r>
      <w:r>
        <w:rPr>
          <w:rFonts w:ascii="Times New Roman" w:hAnsi="Times New Roman" w:eastAsia="仿宋_GB2312"/>
          <w:kern w:val="0"/>
          <w:sz w:val="22"/>
          <w:szCs w:val="22"/>
        </w:rPr>
        <w:t>.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每项</w:t>
      </w:r>
      <w:r>
        <w:rPr>
          <w:rFonts w:ascii="Times New Roman" w:hAnsi="Times New Roman" w:eastAsia="仿宋_GB2312"/>
          <w:kern w:val="0"/>
          <w:sz w:val="22"/>
          <w:szCs w:val="22"/>
        </w:rPr>
        <w:t>评分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指标包括</w:t>
      </w:r>
      <w:r>
        <w:rPr>
          <w:rFonts w:ascii="Times New Roman" w:hAnsi="Times New Roman" w:eastAsia="仿宋_GB2312"/>
          <w:kern w:val="0"/>
          <w:sz w:val="22"/>
          <w:szCs w:val="22"/>
        </w:rPr>
        <w:t>若干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评分观测点</w:t>
      </w:r>
      <w:r>
        <w:rPr>
          <w:rFonts w:ascii="Times New Roman" w:hAnsi="Times New Roman" w:eastAsia="仿宋_GB2312"/>
          <w:kern w:val="0"/>
          <w:sz w:val="22"/>
          <w:szCs w:val="22"/>
        </w:rPr>
        <w:t>，每个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观测点</w:t>
      </w:r>
      <w:r>
        <w:rPr>
          <w:rFonts w:ascii="Times New Roman" w:hAnsi="Times New Roman" w:eastAsia="仿宋_GB2312"/>
          <w:kern w:val="0"/>
          <w:sz w:val="22"/>
          <w:szCs w:val="22"/>
        </w:rPr>
        <w:t>有明确的分值；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4</w:t>
      </w:r>
      <w:r>
        <w:rPr>
          <w:rFonts w:ascii="Times New Roman" w:hAnsi="Times New Roman" w:eastAsia="仿宋_GB2312"/>
          <w:kern w:val="0"/>
          <w:sz w:val="22"/>
          <w:szCs w:val="22"/>
        </w:rPr>
        <w:t>.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评委依据观测点及说明，根据</w:t>
      </w:r>
      <w:r>
        <w:rPr>
          <w:rFonts w:ascii="Times New Roman" w:hAnsi="Times New Roman" w:eastAsia="仿宋_GB2312"/>
          <w:kern w:val="0"/>
          <w:sz w:val="22"/>
          <w:szCs w:val="22"/>
        </w:rPr>
        <w:t>参赛</w:t>
      </w:r>
      <w:r>
        <w:rPr>
          <w:rFonts w:hint="eastAsia" w:ascii="Times New Roman" w:hAnsi="Times New Roman" w:eastAsia="仿宋_GB2312"/>
          <w:kern w:val="0"/>
          <w:sz w:val="22"/>
          <w:szCs w:val="22"/>
        </w:rPr>
        <w:t>团队的技能操作和现场讲解情况进行评分</w:t>
      </w:r>
      <w:r>
        <w:rPr>
          <w:rFonts w:ascii="Times New Roman" w:hAnsi="Times New Roman" w:eastAsia="仿宋_GB2312"/>
          <w:kern w:val="0"/>
          <w:sz w:val="22"/>
          <w:szCs w:val="22"/>
        </w:rPr>
        <w:t>，避免主观印象影响</w:t>
      </w:r>
      <w:r>
        <w:rPr>
          <w:rFonts w:hint="eastAsia" w:ascii="Times New Roman" w:hAnsi="Times New Roman" w:eastAsia="仿宋_GB2312"/>
          <w:kern w:val="0"/>
          <w:sz w:val="22"/>
          <w:szCs w:val="2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25D51"/>
    <w:rsid w:val="05C2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  <w:style w:type="paragraph" w:customStyle="1" w:styleId="7">
    <w:name w:val=" Char Char2"/>
    <w:basedOn w:val="1"/>
    <w:uiPriority w:val="0"/>
    <w:rPr>
      <w:rFonts w:ascii="Tahoma" w:hAnsi="Tahoma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2025-09-23T07:43:00Z</dcterms:created>
  <dc:creator>WPS_1617859048</dc:creator>
  <cp:lastModifiedBy>WPS_1617859048</cp:lastModifiedBy>
  <dcterms:modified xsi:type="dcterms:W3CDTF">2025-09-23T07:45:55Z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872F438A8BDA4D42ACEA0BFB8C16F6E2_11</vt:lpwstr>
  </property>
  <property fmtid="{D5CDD505-2E9C-101B-9397-08002B2CF9AE}" pid="4" name="KSOTemplateDocerSaveRecord">
    <vt:lpwstr>eyJoZGlkIjoiNjMyMmRmMGQzYzE5OTI5MmFiMjM0YmJlNjlhZjEyM2MiLCJ1c2VySWQiOiIxMjAyODI3OTM0In0=</vt:lpwstr>
  </property>
</Properties>
</file>